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5F3F" w14:textId="77777777" w:rsidR="00E637D8" w:rsidRPr="00A2349F" w:rsidRDefault="00A2349F" w:rsidP="00A2349F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  <w:r w:rsidRPr="00A2349F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Anexă:</w:t>
      </w:r>
    </w:p>
    <w:p w14:paraId="132CEA94" w14:textId="77777777" w:rsidR="00A2349F" w:rsidRDefault="00A2349F" w:rsidP="00A2349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  <w:t>Fișa tehnică</w:t>
      </w:r>
    </w:p>
    <w:p w14:paraId="3D2FD874" w14:textId="77777777" w:rsidR="00A2349F" w:rsidRDefault="00A2349F" w:rsidP="00A2349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</w:pPr>
    </w:p>
    <w:p w14:paraId="6F8FA5D1" w14:textId="77777777" w:rsidR="009638DA" w:rsidRPr="00B70071" w:rsidRDefault="009638DA" w:rsidP="009638DA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</w:pPr>
      <w:r w:rsidRPr="00AA5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u-RU"/>
        </w:rPr>
        <w:t>Mere proaspete</w:t>
      </w:r>
    </w:p>
    <w:p w14:paraId="74D92E4C" w14:textId="77777777" w:rsidR="009638DA" w:rsidRPr="00B70071" w:rsidRDefault="009638DA" w:rsidP="009638DA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ru-RU"/>
        </w:rPr>
      </w:pPr>
    </w:p>
    <w:p w14:paraId="4AD1FEB0" w14:textId="77777777" w:rsidR="009638DA" w:rsidRPr="004166A0" w:rsidRDefault="009638DA" w:rsidP="009638DA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Domeniul de aplicare</w:t>
      </w:r>
    </w:p>
    <w:p w14:paraId="7524811F" w14:textId="77777777" w:rsidR="009638DA" w:rsidRPr="004166A0" w:rsidRDefault="009638DA" w:rsidP="00963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Documente de referință</w:t>
      </w:r>
    </w:p>
    <w:p w14:paraId="147A84A4" w14:textId="77777777" w:rsidR="009638DA" w:rsidRPr="004166A0" w:rsidRDefault="009638DA" w:rsidP="00963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Clasificarea produsului</w:t>
      </w:r>
    </w:p>
    <w:p w14:paraId="3B3F3D27" w14:textId="77777777" w:rsidR="00DB3043" w:rsidRPr="004166A0" w:rsidRDefault="003A5EA2" w:rsidP="004166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Specificații tehnice</w:t>
      </w:r>
    </w:p>
    <w:p w14:paraId="0419D624" w14:textId="77777777" w:rsidR="004166A0" w:rsidRPr="0076477B" w:rsidRDefault="009638DA" w:rsidP="0076477B">
      <w:pPr>
        <w:pStyle w:val="a3"/>
        <w:numPr>
          <w:ilvl w:val="1"/>
          <w:numId w:val="4"/>
        </w:num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proofErr w:type="spellStart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Cerinţe</w:t>
      </w:r>
      <w:proofErr w:type="spellEnd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EE6070"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minime </w:t>
      </w:r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de calitate</w:t>
      </w:r>
    </w:p>
    <w:p w14:paraId="6E38D5CD" w14:textId="77777777" w:rsidR="0076477B" w:rsidRDefault="0076477B" w:rsidP="0076477B">
      <w:pPr>
        <w:pStyle w:val="a3"/>
        <w:numPr>
          <w:ilvl w:val="2"/>
          <w:numId w:val="4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  <w:r w:rsidRPr="0076477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Criterii de colorație, grupe de colorație și coduri</w:t>
      </w:r>
    </w:p>
    <w:p w14:paraId="156F188E" w14:textId="77777777" w:rsidR="0076477B" w:rsidRPr="0076477B" w:rsidRDefault="0076477B" w:rsidP="0076477B">
      <w:pPr>
        <w:pStyle w:val="a3"/>
        <w:numPr>
          <w:ilvl w:val="2"/>
          <w:numId w:val="4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Criterii de înroșire</w:t>
      </w:r>
    </w:p>
    <w:p w14:paraId="620DB575" w14:textId="77777777" w:rsidR="00EE6070" w:rsidRPr="004166A0" w:rsidRDefault="004166A0" w:rsidP="0076477B">
      <w:pPr>
        <w:pStyle w:val="a3"/>
        <w:numPr>
          <w:ilvl w:val="1"/>
          <w:numId w:val="4"/>
        </w:num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Cerințe privind calibrarea</w:t>
      </w:r>
      <w:r w:rsidR="001B550C"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42F73A59" w14:textId="77777777" w:rsidR="009638DA" w:rsidRPr="004166A0" w:rsidRDefault="009638DA" w:rsidP="0076477B">
      <w:pPr>
        <w:pStyle w:val="a3"/>
        <w:numPr>
          <w:ilvl w:val="1"/>
          <w:numId w:val="4"/>
        </w:num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proofErr w:type="spellStart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Condiţii</w:t>
      </w:r>
      <w:proofErr w:type="spellEnd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ambalare</w:t>
      </w:r>
    </w:p>
    <w:p w14:paraId="218630F1" w14:textId="77777777" w:rsidR="009638DA" w:rsidRPr="001F6650" w:rsidRDefault="009638DA" w:rsidP="0076477B">
      <w:pPr>
        <w:pStyle w:val="a3"/>
        <w:numPr>
          <w:ilvl w:val="1"/>
          <w:numId w:val="4"/>
        </w:num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Etichetare</w:t>
      </w:r>
    </w:p>
    <w:p w14:paraId="34104167" w14:textId="77777777" w:rsidR="001F6650" w:rsidRDefault="004851C0" w:rsidP="004851C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1F665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Recomandări pentru selectarea ofert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elor</w:t>
      </w:r>
      <w:r w:rsidRPr="001F665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în cadrul achizițiilor publice</w:t>
      </w:r>
    </w:p>
    <w:p w14:paraId="6EA9DA91" w14:textId="77777777" w:rsidR="004851C0" w:rsidRPr="004851C0" w:rsidRDefault="004851C0" w:rsidP="004851C0">
      <w:pPr>
        <w:pStyle w:val="a3"/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0532D7D4" w14:textId="77777777" w:rsidR="009638DA" w:rsidRPr="004166A0" w:rsidRDefault="009638DA" w:rsidP="009638DA">
      <w:pPr>
        <w:pStyle w:val="a3"/>
        <w:numPr>
          <w:ilvl w:val="0"/>
          <w:numId w:val="3"/>
        </w:numPr>
        <w:spacing w:after="12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Domeniul de aplicare</w:t>
      </w:r>
    </w:p>
    <w:p w14:paraId="0A8E89E7" w14:textId="65D33216" w:rsidR="009638DA" w:rsidRPr="004166A0" w:rsidRDefault="009638DA" w:rsidP="009638D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Prezenta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Fişă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tehnică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stabileşte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cerinţele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esenţiale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de calitate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faţă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de merele proaspete destinate consumului uman.</w:t>
      </w:r>
    </w:p>
    <w:p w14:paraId="194D2B00" w14:textId="77777777" w:rsidR="009638DA" w:rsidRPr="004166A0" w:rsidRDefault="009638DA" w:rsidP="009638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o-RO" w:eastAsia="ru-RU"/>
        </w:rPr>
      </w:pPr>
    </w:p>
    <w:p w14:paraId="40776ECD" w14:textId="77777777" w:rsidR="009638DA" w:rsidRPr="004166A0" w:rsidRDefault="009638DA" w:rsidP="0076477B">
      <w:pPr>
        <w:pStyle w:val="a3"/>
        <w:numPr>
          <w:ilvl w:val="0"/>
          <w:numId w:val="3"/>
        </w:numP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Documente de referință</w:t>
      </w:r>
    </w:p>
    <w:p w14:paraId="40E2731B" w14:textId="77777777" w:rsidR="009638DA" w:rsidRPr="004166A0" w:rsidRDefault="009638DA" w:rsidP="007647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929 din 31.12.2009</w:t>
      </w:r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r w:rsidRPr="004166A0">
        <w:rPr>
          <w:rFonts w:ascii="Times New Roman" w:hAnsi="Times New Roman" w:cs="Times New Roman"/>
          <w:sz w:val="24"/>
          <w:szCs w:val="24"/>
          <w:lang w:val="ro-RO"/>
        </w:rPr>
        <w:t>cu privire la aprobarea Reglementării tehnice „</w:t>
      </w:r>
      <w:proofErr w:type="spellStart"/>
      <w:r w:rsidRPr="004166A0">
        <w:rPr>
          <w:rFonts w:ascii="Times New Roman" w:hAnsi="Times New Roman" w:cs="Times New Roman"/>
          <w:sz w:val="24"/>
          <w:szCs w:val="24"/>
          <w:lang w:val="ro-RO"/>
        </w:rPr>
        <w:t>Cerinţe</w:t>
      </w:r>
      <w:proofErr w:type="spellEnd"/>
      <w:r w:rsidRPr="004166A0">
        <w:rPr>
          <w:rFonts w:ascii="Times New Roman" w:hAnsi="Times New Roman" w:cs="Times New Roman"/>
          <w:sz w:val="24"/>
          <w:szCs w:val="24"/>
          <w:lang w:val="ro-RO"/>
        </w:rPr>
        <w:t xml:space="preserve"> de calitate </w:t>
      </w:r>
      <w:proofErr w:type="spellStart"/>
      <w:r w:rsidRPr="004166A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166A0">
        <w:rPr>
          <w:rFonts w:ascii="Times New Roman" w:hAnsi="Times New Roman" w:cs="Times New Roman"/>
          <w:sz w:val="24"/>
          <w:szCs w:val="24"/>
          <w:lang w:val="ro-RO"/>
        </w:rPr>
        <w:t xml:space="preserve"> comercializare pentru fructe </w:t>
      </w:r>
      <w:proofErr w:type="spellStart"/>
      <w:r w:rsidRPr="004166A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166A0">
        <w:rPr>
          <w:rFonts w:ascii="Times New Roman" w:hAnsi="Times New Roman" w:cs="Times New Roman"/>
          <w:sz w:val="24"/>
          <w:szCs w:val="24"/>
          <w:lang w:val="ro-RO"/>
        </w:rPr>
        <w:t xml:space="preserve"> legume proaspete”</w:t>
      </w:r>
      <w:r w:rsidR="008528BE" w:rsidRPr="004166A0">
        <w:rPr>
          <w:rFonts w:ascii="Times New Roman" w:hAnsi="Times New Roman" w:cs="Times New Roman"/>
          <w:sz w:val="24"/>
          <w:szCs w:val="24"/>
          <w:lang w:val="ro-RO"/>
        </w:rPr>
        <w:t>, cu modificarea ulterioară</w:t>
      </w:r>
    </w:p>
    <w:p w14:paraId="4A66BB55" w14:textId="77777777" w:rsidR="009638DA" w:rsidRPr="004166A0" w:rsidRDefault="009638DA" w:rsidP="009638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 1279 din 17.11.2008 </w:t>
      </w:r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cu privire la aprobarea Reglementării tehnice „Ambalarea, transportarea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depozitarea fructelor, legumelor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ciupercilor proaspete”;</w:t>
      </w:r>
    </w:p>
    <w:p w14:paraId="622D94A0" w14:textId="77777777" w:rsidR="009638DA" w:rsidRPr="004166A0" w:rsidRDefault="009638DA" w:rsidP="009638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hAnsi="Times New Roman" w:cs="Times New Roman"/>
          <w:sz w:val="24"/>
          <w:szCs w:val="24"/>
          <w:lang w:val="ro-RO"/>
        </w:rPr>
        <w:t>Hotărârea Guvernului nr.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115 din 08.02.2013</w:t>
      </w:r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privind controlul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nitraţilor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în produsele alimentare de origine vegetală;</w:t>
      </w:r>
    </w:p>
    <w:p w14:paraId="09ABBBC9" w14:textId="77777777" w:rsidR="009638DA" w:rsidRPr="004166A0" w:rsidRDefault="009638DA" w:rsidP="009638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nr.1191 din 23.12.2010 </w:t>
      </w:r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cu privire la aprobarea Regulamentului sanitar privind limitele maxime admise de reziduuri ale produselor de</w:t>
      </w:r>
      <w:r w:rsidR="00EB6ADE"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uz fitosanitar din sau de pe produse alimentare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hrană de origine vegetală </w:t>
      </w:r>
      <w:proofErr w:type="spellStart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animală pentru animale;</w:t>
      </w:r>
    </w:p>
    <w:p w14:paraId="1C4FB296" w14:textId="77777777" w:rsidR="009638DA" w:rsidRPr="004166A0" w:rsidRDefault="009638DA" w:rsidP="009638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SM SR 2714:2006 „Fructe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legume proaspete. Mere”.</w:t>
      </w:r>
    </w:p>
    <w:p w14:paraId="3882F08C" w14:textId="77777777" w:rsidR="009638DA" w:rsidRPr="004166A0" w:rsidRDefault="009638DA" w:rsidP="00963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14:paraId="1252EC5A" w14:textId="77777777" w:rsidR="009638DA" w:rsidRPr="004166A0" w:rsidRDefault="00865DFF" w:rsidP="0076477B">
      <w:pPr>
        <w:pStyle w:val="a3"/>
        <w:numPr>
          <w:ilvl w:val="0"/>
          <w:numId w:val="3"/>
        </w:numP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Clasificarea produsului</w:t>
      </w:r>
    </w:p>
    <w:p w14:paraId="1241E2BC" w14:textId="77777777" w:rsidR="004226AD" w:rsidRPr="006F3805" w:rsidRDefault="009638DA" w:rsidP="006F3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F380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 se clasifică în </w:t>
      </w:r>
      <w:r w:rsidR="004226AD" w:rsidRPr="006F380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trei categorii, definite după cum urmează: </w:t>
      </w:r>
    </w:p>
    <w:p w14:paraId="04A3F5F5" w14:textId="77777777" w:rsidR="004226AD" w:rsidRPr="004166A0" w:rsidRDefault="004226AD" w:rsidP="00E81DF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categoria 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„Extra”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211F5933" w14:textId="77777777" w:rsidR="004226AD" w:rsidRPr="004166A0" w:rsidRDefault="009638DA" w:rsidP="00E81DF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categoria I</w:t>
      </w:r>
      <w:r w:rsidR="004226AD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4AADBEE9" w14:textId="77777777" w:rsidR="009638DA" w:rsidRDefault="00E81DFC" w:rsidP="00E81DF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categoria II.</w:t>
      </w:r>
    </w:p>
    <w:p w14:paraId="0681D221" w14:textId="77777777" w:rsidR="004166A0" w:rsidRPr="004166A0" w:rsidRDefault="004166A0" w:rsidP="004166A0">
      <w:pPr>
        <w:pStyle w:val="a3"/>
        <w:spacing w:after="0" w:line="240" w:lineRule="auto"/>
        <w:ind w:left="927"/>
        <w:contextualSpacing w:val="0"/>
        <w:jc w:val="both"/>
        <w:rPr>
          <w:rFonts w:ascii="Times New Roman" w:eastAsia="Times New Roman" w:hAnsi="Times New Roman" w:cs="Times New Roman"/>
          <w:sz w:val="12"/>
          <w:szCs w:val="12"/>
          <w:lang w:val="ro-RO" w:eastAsia="ru-RU"/>
        </w:rPr>
      </w:pPr>
    </w:p>
    <w:p w14:paraId="3D66FB87" w14:textId="77777777" w:rsidR="009638DA" w:rsidRPr="004166A0" w:rsidRDefault="004226AD" w:rsidP="004226A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1) 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 din </w:t>
      </w:r>
      <w:r w:rsidR="009638DA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categoria „Extra”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sunt de calitate superioară. Ele trebuie să prezinte forma, mărimea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coloraţia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13DFF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caracteristică 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soiului respectiv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să aibă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ataşat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un peduncul intact. Criteriile privind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coloraţia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ruginirea, precum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o listă neexhaustivă a soiurilor de mere din categoria „Extra” trebuie să corespundă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cerinţelor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stabilite în tabelul n</w:t>
      </w:r>
      <w:r w:rsidR="00276E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r. 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1.</w:t>
      </w:r>
    </w:p>
    <w:p w14:paraId="32CC4515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Pulpa merelor din categoria „Extra” trebuie să fie</w:t>
      </w:r>
      <w:r w:rsidR="004166A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6394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perfect sănătoasă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618304B4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 din categoria „Extra” nu trebuie să prezinte defecte, cu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excepţia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unor foarte </w:t>
      </w:r>
      <w:r w:rsidR="0016394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ușoare defecte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superficiale la nivelul epidermei, cu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condiţia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 acestea să nu afecteze aspectul general al produsului, calitatea, </w:t>
      </w:r>
      <w:r w:rsidR="0016394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păstrarea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prezentarea sa în ambalaj.</w:t>
      </w:r>
    </w:p>
    <w:p w14:paraId="7A585191" w14:textId="77777777" w:rsidR="009638DA" w:rsidRPr="004166A0" w:rsidRDefault="004166A0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2) 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 din </w:t>
      </w:r>
      <w:r w:rsidR="009638DA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categoria I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trebuie să fie de bună calitate, să prezinte forma, calibrul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coloraţia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caracteristică soiului respectiv.</w:t>
      </w:r>
    </w:p>
    <w:p w14:paraId="293E2243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Pulpa merelor din categoria I trebuie să fie lipsită de orice deteriorare,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pot prezenta mici defecte cu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condiţia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 acestea să nu afecteze aspectul general al produsului, calitatea lui, calitatea de păstrare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prezentare în ambalaj. Astfel, se pot admite:</w:t>
      </w:r>
    </w:p>
    <w:p w14:paraId="4FB51E1C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1) defecte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uşoare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formă;</w:t>
      </w:r>
    </w:p>
    <w:p w14:paraId="7250F3BB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 xml:space="preserve">2) defecte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uşoare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dezvoltare;</w:t>
      </w:r>
    </w:p>
    <w:p w14:paraId="26A34BCA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3) defecte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uşoare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AC130C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colorit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619F4BCA" w14:textId="77777777" w:rsidR="00163940" w:rsidRPr="004166A0" w:rsidRDefault="00163940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4) urme de lovituri ușo</w:t>
      </w:r>
      <w:r w:rsidR="008528BE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 a căror suprafață total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 nu depășește 1 cm</w:t>
      </w:r>
      <w:r w:rsidRPr="004166A0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fără decolorare</w:t>
      </w:r>
    </w:p>
    <w:p w14:paraId="372B6232" w14:textId="77777777" w:rsidR="009638DA" w:rsidRPr="004166A0" w:rsidRDefault="00163940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defecte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uşoare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la nivelul epidermei care nu pot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depăşi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p w14:paraId="1662DB87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a) 2 cm</w:t>
      </w:r>
      <w:r w:rsidR="0059429B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lungime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în cazul defectelor </w:t>
      </w:r>
      <w:r w:rsidR="0059429B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formă alungită;</w:t>
      </w:r>
    </w:p>
    <w:p w14:paraId="698C88D5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b) 1 cm</w:t>
      </w:r>
      <w:r w:rsidRPr="004166A0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suprafaţ</w:t>
      </w:r>
      <w:r w:rsidR="00D44B8F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totală în cazul </w:t>
      </w:r>
      <w:r w:rsidR="00D44B8F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altor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defecte, cu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excepţia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rapănului</w:t>
      </w:r>
      <w:r w:rsidR="00D44B8F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44B8F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(</w:t>
      </w:r>
      <w:proofErr w:type="spellStart"/>
      <w:r w:rsidR="00D44B8F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Venturia</w:t>
      </w:r>
      <w:proofErr w:type="spellEnd"/>
      <w:r w:rsidR="00D44B8F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</w:t>
      </w:r>
      <w:proofErr w:type="spellStart"/>
      <w:r w:rsidR="00D44B8F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inaequalis</w:t>
      </w:r>
      <w:proofErr w:type="spellEnd"/>
      <w:r w:rsidR="00D44B8F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)</w:t>
      </w:r>
      <w:r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,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44B8F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care per total, nu trebuie să afecteze</w:t>
      </w:r>
      <w:r w:rsidR="004752F9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o suprafață mai mare de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0,25 cm</w:t>
      </w:r>
      <w:r w:rsidRPr="004166A0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4F6A3576" w14:textId="77777777" w:rsidR="009638DA" w:rsidRPr="004166A0" w:rsidRDefault="0059429B" w:rsidP="004166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</w:t>
      </w:r>
      <w:r w:rsidRPr="001F0A3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ușoară rugozitate</w:t>
      </w:r>
      <w:r w:rsidR="007076EF" w:rsidRPr="001F0A3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3891C0CA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cazul categoriei I, pedunculul poate lipsi, cu </w:t>
      </w:r>
      <w:r w:rsidR="0076477B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condiția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 </w:t>
      </w:r>
      <w:r w:rsidR="009C6A0B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secțiunea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să fie curat</w:t>
      </w:r>
      <w:r w:rsidR="009C6A0B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epiderma </w:t>
      </w:r>
      <w:r w:rsidR="009C6A0B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adiacentă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să nu fie deteriorată.</w:t>
      </w:r>
    </w:p>
    <w:p w14:paraId="4A9DE5D1" w14:textId="77777777" w:rsidR="009638DA" w:rsidRPr="004166A0" w:rsidRDefault="004166A0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3) 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 </w:t>
      </w:r>
      <w:r w:rsidR="006A5A6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9638DA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categoria II</w:t>
      </w:r>
      <w:r w:rsidR="00F106D9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cuprinde merele care nu se încadrează în categoriile superioare</w:t>
      </w:r>
      <w:r w:rsidR="00AA6212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dar îndeplinesc caracteristicile minime de calitate ale merelor</w:t>
      </w:r>
      <w:r w:rsidR="0076477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Pulpa merelor din categoria II </w:t>
      </w:r>
      <w:r w:rsidR="005325C5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 trebuie să prezinte defecte </w:t>
      </w:r>
      <w:r w:rsidR="003371D4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</w:t>
      </w:r>
      <w:r w:rsidR="005325C5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ajore</w:t>
      </w:r>
      <w:r w:rsidR="00AC130C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C130C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rmătoarele defecte</w:t>
      </w:r>
      <w:r w:rsidR="00AC130C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trebuie să fie permise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cu </w:t>
      </w:r>
      <w:r w:rsidR="0076477B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condiția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 merele să păstreze caracteristicile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esențiale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371D4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calitate, păstrare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prezentare:</w:t>
      </w:r>
    </w:p>
    <w:p w14:paraId="26865400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1) defecte de formă;</w:t>
      </w:r>
    </w:p>
    <w:p w14:paraId="0A514C02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2) defecte de dezvoltare;</w:t>
      </w:r>
    </w:p>
    <w:p w14:paraId="6BDDB18E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3) defecte de </w:t>
      </w:r>
      <w:r w:rsidR="00AC130C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colorit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32F183B5" w14:textId="77777777" w:rsidR="003371D4" w:rsidRPr="004166A0" w:rsidRDefault="003371D4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4) urme de lovituri ușoare a căror suprafață nu depășește 1,5 cm</w:t>
      </w:r>
      <w:r w:rsidRPr="004166A0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epiderma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putînd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fi ușor decolorată</w:t>
      </w:r>
    </w:p>
    <w:p w14:paraId="7656789D" w14:textId="77777777" w:rsidR="009638DA" w:rsidRPr="004166A0" w:rsidRDefault="003371D4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defecte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ale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epidermei, care nu pot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depăşi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p w14:paraId="6E5E1246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a) 4 cm</w:t>
      </w:r>
      <w:r w:rsidR="003371D4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lungime</w:t>
      </w:r>
      <w:r w:rsidR="00E14EA8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cazul defectelor de formă alungită;</w:t>
      </w:r>
    </w:p>
    <w:p w14:paraId="29EFEF5B" w14:textId="77777777" w:rsidR="009638DA" w:rsidRPr="004166A0" w:rsidRDefault="009638DA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b) 2,5 cm</w:t>
      </w:r>
      <w:r w:rsidRPr="004166A0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suprafaţa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totală în cazul altor defecte, cu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excepţia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rapănului</w:t>
      </w:r>
      <w:r w:rsidR="00E14EA8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</w:t>
      </w:r>
      <w:proofErr w:type="spellStart"/>
      <w:r w:rsidR="00E14EA8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Venturia</w:t>
      </w:r>
      <w:proofErr w:type="spellEnd"/>
      <w:r w:rsidR="00E14EA8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</w:t>
      </w:r>
      <w:proofErr w:type="spellStart"/>
      <w:r w:rsidR="00E14EA8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inaequalis</w:t>
      </w:r>
      <w:proofErr w:type="spellEnd"/>
      <w:r w:rsidR="00E14EA8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E14EA8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care, per total, nu trebuie să afecteze o suprafață mai mare de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1 cm</w:t>
      </w:r>
      <w:r w:rsidRPr="004166A0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74BE4D7F" w14:textId="77777777" w:rsidR="00E14EA8" w:rsidRPr="001F0A34" w:rsidRDefault="00E14EA8" w:rsidP="009638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c) </w:t>
      </w:r>
      <w:r w:rsidRPr="001F0A3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ușoară rugozitate</w:t>
      </w:r>
      <w:r w:rsidR="00CC1E1E" w:rsidRPr="001F0A3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43B0005D" w14:textId="77777777" w:rsidR="009638DA" w:rsidRPr="004166A0" w:rsidRDefault="00E14EA8" w:rsidP="004166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d) împreună, rugozitatea reticulară subțire și rugozitatea densă nu pot depăși maximum ½ din suprafața totală a fructului.</w:t>
      </w:r>
    </w:p>
    <w:p w14:paraId="520ADA1C" w14:textId="77777777" w:rsidR="009638DA" w:rsidRPr="004166A0" w:rsidRDefault="00865DFF" w:rsidP="009638D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Specificații tehnice</w:t>
      </w:r>
    </w:p>
    <w:p w14:paraId="055E3459" w14:textId="77777777" w:rsidR="009638DA" w:rsidRPr="004166A0" w:rsidRDefault="009638DA" w:rsidP="001F0A34">
      <w:pPr>
        <w:pStyle w:val="a3"/>
        <w:numPr>
          <w:ilvl w:val="1"/>
          <w:numId w:val="5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proofErr w:type="spellStart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Cerinţe</w:t>
      </w:r>
      <w:proofErr w:type="spellEnd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EE6070"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minime de </w:t>
      </w:r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calitate</w:t>
      </w:r>
    </w:p>
    <w:p w14:paraId="0A0AFB73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toate categoriile,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ţinând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cont de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dispoziţiile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speciale prevăzute pentru fiecare categorie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toleranţele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admise, </w:t>
      </w:r>
      <w:r w:rsidR="000D02C3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caracteristicile</w:t>
      </w:r>
      <w:r w:rsidR="00E14EA8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</w:t>
      </w:r>
      <w:r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minime</w:t>
      </w:r>
      <w:r w:rsidR="001B550C"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de calitate</w:t>
      </w:r>
      <w:r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ale merelor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trebuie să fie:</w:t>
      </w:r>
    </w:p>
    <w:p w14:paraId="625D1855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1) întregi;</w:t>
      </w:r>
    </w:p>
    <w:p w14:paraId="287B5F81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2) sănătoase</w:t>
      </w:r>
      <w:r w:rsidR="00531B4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="00531B4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sînt</w:t>
      </w:r>
      <w:proofErr w:type="spellEnd"/>
      <w:r w:rsidR="00531B4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excluse produsele atinse de putregai sau cu alterări din cauza cărora ar deveni improprii pentru consum;</w:t>
      </w:r>
    </w:p>
    <w:p w14:paraId="200B9D8D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3) curate, lipsite de materii străine vizibile;</w:t>
      </w:r>
    </w:p>
    <w:p w14:paraId="78A7DAD9" w14:textId="77777777" w:rsidR="009638DA" w:rsidRPr="004166A0" w:rsidRDefault="00531B4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practic, lipsite de atacuri ale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paraziţilor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(dăunătorilor);</w:t>
      </w:r>
    </w:p>
    <w:p w14:paraId="5A83B29D" w14:textId="77777777" w:rsidR="009638DA" w:rsidRPr="004166A0" w:rsidRDefault="00531B4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fără 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dăunători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09680D93" w14:textId="77777777" w:rsidR="009638DA" w:rsidRPr="004166A0" w:rsidRDefault="00531B4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6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nu prezinte umiditate exterioară anormală;</w:t>
      </w:r>
    </w:p>
    <w:p w14:paraId="77DD8063" w14:textId="77777777" w:rsidR="009638DA" w:rsidRPr="004166A0" w:rsidRDefault="00AC130C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7</w:t>
      </w:r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să fie lipsite de mirosuri </w:t>
      </w:r>
      <w:proofErr w:type="spellStart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638D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/sau gusturi străine;</w:t>
      </w:r>
    </w:p>
    <w:p w14:paraId="07935AD1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Dezvoltarea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starea merelor trebuie să permită continuarea procesului de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maturaţie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pentru a putea atinge gradul de maturitate adecvat, în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funcţie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caracteristicile soiului respectiv.</w:t>
      </w:r>
    </w:p>
    <w:p w14:paraId="3B0FB95A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scopul continuării procesului de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maturaţie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 durata transportării, merele trebuie să prezinte:</w:t>
      </w:r>
    </w:p>
    <w:p w14:paraId="654678BA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1) un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conţinut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substanţe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solubile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un grad de fermitate satisfăcătoare;</w:t>
      </w:r>
    </w:p>
    <w:p w14:paraId="5B9258E7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2)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rezistenţă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la transport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manipulare;</w:t>
      </w:r>
    </w:p>
    <w:p w14:paraId="18696DE3" w14:textId="77777777" w:rsidR="004166A0" w:rsidRDefault="009638DA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3) sosirea în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condiţii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satisfăcătoare la locul de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destinaţie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1FA95A62" w14:textId="77777777" w:rsidR="004166A0" w:rsidRPr="004166A0" w:rsidRDefault="004166A0" w:rsidP="00963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o-RO" w:eastAsia="ru-RU"/>
        </w:rPr>
      </w:pPr>
    </w:p>
    <w:p w14:paraId="3EFD2EEE" w14:textId="77777777" w:rsidR="009638DA" w:rsidRPr="004166A0" w:rsidRDefault="009638DA" w:rsidP="009638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Tabelul nr. 4.1.1 - Criterii de </w:t>
      </w:r>
      <w:proofErr w:type="spellStart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coloraţie</w:t>
      </w:r>
      <w:proofErr w:type="spellEnd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grupe de </w:t>
      </w:r>
      <w:proofErr w:type="spellStart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coloraţie</w:t>
      </w:r>
      <w:proofErr w:type="spellEnd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coduri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2160"/>
        <w:gridCol w:w="2329"/>
        <w:gridCol w:w="2340"/>
      </w:tblGrid>
      <w:tr w:rsidR="009638DA" w:rsidRPr="004166A0" w14:paraId="4FF6DB97" w14:textId="77777777" w:rsidTr="001B34C1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2553" w14:textId="77777777" w:rsidR="009638DA" w:rsidRPr="0076477B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6477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de </w:t>
            </w:r>
            <w:proofErr w:type="spellStart"/>
            <w:r w:rsidRPr="0076477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coloraţie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1DB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</w:p>
          <w:p w14:paraId="0AEA5AF3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(Soiuri de </w:t>
            </w:r>
            <w:proofErr w:type="spellStart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coloraţie</w:t>
            </w:r>
            <w:proofErr w:type="spellEnd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roşie</w:t>
            </w:r>
            <w:proofErr w:type="spellEnd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CE54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</w:p>
          <w:p w14:paraId="028B533F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(Soiuri de diferite </w:t>
            </w:r>
            <w:proofErr w:type="spellStart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nuanţe</w:t>
            </w:r>
            <w:proofErr w:type="spellEnd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roşu</w:t>
            </w:r>
            <w:proofErr w:type="spellEnd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C7D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</w:p>
          <w:p w14:paraId="04541E86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(Soiuri striate, </w:t>
            </w:r>
            <w:proofErr w:type="spellStart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uşor</w:t>
            </w:r>
            <w:proofErr w:type="spellEnd"/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colorate)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D42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</w:t>
            </w:r>
          </w:p>
          <w:p w14:paraId="35BA87C2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(Alte soiuri)</w:t>
            </w:r>
          </w:p>
        </w:tc>
      </w:tr>
      <w:tr w:rsidR="009638DA" w:rsidRPr="009350DB" w14:paraId="48FA4602" w14:textId="77777777" w:rsidTr="001B34C1">
        <w:trPr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FF3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CED" w14:textId="77777777" w:rsidR="009638DA" w:rsidRPr="00AD550D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Suprafaţa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totală de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coloraţie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roşie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caracteristică soiului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D29" w14:textId="77777777" w:rsidR="009638DA" w:rsidRPr="00AD550D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Suprafaţa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totală de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coloraţie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diferite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nuanţe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roşu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caracteristică soiului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884C" w14:textId="77777777" w:rsidR="009638DA" w:rsidRPr="00AD550D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Suprafaţa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totală de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coloraţie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uşor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roşiatică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înroşită</w:t>
            </w:r>
            <w:proofErr w:type="spellEnd"/>
            <w:r w:rsidRPr="00AD55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striată, caracteristică soiului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39C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638DA" w:rsidRPr="009350DB" w14:paraId="5AE1700E" w14:textId="77777777" w:rsidTr="001B34C1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8881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Categoria „Extra”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52C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1AA753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3/4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F9CA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287DAA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E74E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DB819C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3B8D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Fără </w:t>
            </w:r>
            <w:proofErr w:type="spellStart"/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exigenţe</w:t>
            </w:r>
            <w:proofErr w:type="spellEnd"/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privind </w:t>
            </w:r>
            <w:proofErr w:type="spellStart"/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coloraţia</w:t>
            </w:r>
            <w:proofErr w:type="spellEnd"/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roşie</w:t>
            </w:r>
            <w:proofErr w:type="spellEnd"/>
          </w:p>
        </w:tc>
      </w:tr>
      <w:tr w:rsidR="009638DA" w:rsidRPr="004166A0" w14:paraId="02CF702B" w14:textId="77777777" w:rsidTr="001B34C1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AF24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AB2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E22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347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1/10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E55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638DA" w:rsidRPr="004166A0" w14:paraId="2840DB92" w14:textId="77777777" w:rsidTr="001B34C1">
        <w:trPr>
          <w:trHeight w:val="36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A90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851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B86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1/10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4430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66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D7B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B34393E" w14:textId="77777777" w:rsidR="009638DA" w:rsidRPr="004166A0" w:rsidRDefault="009638DA" w:rsidP="009638D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7D84EB1E" w14:textId="77777777" w:rsidR="009638DA" w:rsidRPr="004166A0" w:rsidRDefault="009638DA" w:rsidP="009638D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F3CD7CE" w14:textId="77777777" w:rsidR="009638DA" w:rsidRPr="004166A0" w:rsidRDefault="009638DA" w:rsidP="009638DA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Tabelul nr. 4.1.2 - Criterii de </w:t>
      </w:r>
      <w:proofErr w:type="spellStart"/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>înroşire</w:t>
      </w:r>
      <w:proofErr w:type="spellEnd"/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843"/>
        <w:gridCol w:w="1741"/>
        <w:gridCol w:w="1661"/>
        <w:gridCol w:w="2069"/>
      </w:tblGrid>
      <w:tr w:rsidR="009638DA" w:rsidRPr="004166A0" w14:paraId="04F3E617" w14:textId="77777777" w:rsidTr="0076477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80F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lang w:val="ro-RO"/>
              </w:rPr>
              <w:t xml:space="preserve">Indicatori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426B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lang w:val="ro-RO"/>
              </w:rPr>
              <w:t>Categoria „Extra”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AD7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lang w:val="ro-RO"/>
              </w:rPr>
              <w:t>Categoria 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2705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166A0">
              <w:rPr>
                <w:rFonts w:ascii="Times New Roman" w:hAnsi="Times New Roman" w:cs="Times New Roman"/>
                <w:b/>
                <w:lang w:val="ro-RO"/>
              </w:rPr>
              <w:t>Categoria II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DE81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4166A0">
              <w:rPr>
                <w:rFonts w:ascii="Times New Roman" w:hAnsi="Times New Roman" w:cs="Times New Roman"/>
                <w:b/>
                <w:lang w:val="ro-RO"/>
              </w:rPr>
              <w:t>Toleranţa</w:t>
            </w:r>
            <w:proofErr w:type="spellEnd"/>
            <w:r w:rsidRPr="004166A0">
              <w:rPr>
                <w:rFonts w:ascii="Times New Roman" w:hAnsi="Times New Roman" w:cs="Times New Roman"/>
                <w:b/>
                <w:lang w:val="ro-RO"/>
              </w:rPr>
              <w:t xml:space="preserve"> pentru categoria II</w:t>
            </w:r>
          </w:p>
        </w:tc>
      </w:tr>
      <w:tr w:rsidR="009638DA" w:rsidRPr="009350DB" w14:paraId="40C731A8" w14:textId="77777777" w:rsidTr="0076477B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110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1) Pete maronii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8D5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care nu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depăşesc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cavitatea pedunculului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B229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care pot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depăşi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uşor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cavitatea pedunculului sau pistilului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F43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care pot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depăşi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cavitatea pedunculului sau  pistilului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1F0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fructe care nu afectează în mod considerabil aspectul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starea coletului</w:t>
            </w:r>
          </w:p>
        </w:tc>
      </w:tr>
      <w:tr w:rsidR="009638DA" w:rsidRPr="004166A0" w14:paraId="6C8A4F65" w14:textId="77777777" w:rsidTr="0076477B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E255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AABA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fără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rugozităţi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EDD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fără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rugozităţi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0E17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uşor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rugos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5EF9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38DA" w:rsidRPr="009350DB" w14:paraId="6DD598E4" w14:textId="77777777" w:rsidTr="0076477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C6D6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2) Ruginire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E01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2A65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Maxim admis din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suprafaţa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fructului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2C19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38DA" w:rsidRPr="009350DB" w14:paraId="5F36F2D9" w14:textId="77777777" w:rsidTr="0076477B">
        <w:trPr>
          <w:trHeight w:val="36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4C8E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reticulară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uşoară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(care nu contrastează puternic cu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coloraţia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generală a fructului)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273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urme de ruginire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uşoare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izolate care nu afectează aspectul general al fructului sau coletului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ED3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1/5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7D1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1/2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DBD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fructe care nu afectează în mod considerabil aspectul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starea coletului</w:t>
            </w:r>
          </w:p>
        </w:tc>
      </w:tr>
      <w:tr w:rsidR="009638DA" w:rsidRPr="009350DB" w14:paraId="3F652947" w14:textId="77777777" w:rsidTr="0076477B">
        <w:trPr>
          <w:trHeight w:val="36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898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- puternică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04A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- nu este admisă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E07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1/20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6C1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1/3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FD3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fructe care nu afectează în mod considerabil aspectul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starea coletului</w:t>
            </w:r>
          </w:p>
        </w:tc>
      </w:tr>
      <w:tr w:rsidR="009638DA" w:rsidRPr="009350DB" w14:paraId="2A69425C" w14:textId="77777777" w:rsidTr="0076477B">
        <w:trPr>
          <w:trHeight w:val="36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AA7" w14:textId="77777777" w:rsidR="009638DA" w:rsidRPr="004166A0" w:rsidRDefault="009638DA" w:rsidP="001B34C1">
            <w:pPr>
              <w:tabs>
                <w:tab w:val="left" w:pos="207"/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defecte cumulative (cu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excepţia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petelor maronii care se exclud din cadrul acestor defecte cumulative).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Atît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ruginirea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uşoară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cît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cea puternică luate împreună nu pot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depăşi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>, în nici un caz, un maximum 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4AF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DA60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1/5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E76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>1/2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0772" w14:textId="77777777" w:rsidR="009638DA" w:rsidRPr="004166A0" w:rsidRDefault="009638DA" w:rsidP="001B34C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4166A0">
              <w:rPr>
                <w:rFonts w:ascii="Times New Roman" w:hAnsi="Times New Roman" w:cs="Times New Roman"/>
                <w:lang w:val="ro-RO"/>
              </w:rPr>
              <w:t xml:space="preserve">- fructe care nu  afectează în mod considerabil aspectul </w:t>
            </w:r>
            <w:proofErr w:type="spellStart"/>
            <w:r w:rsidRPr="004166A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66A0">
              <w:rPr>
                <w:rFonts w:ascii="Times New Roman" w:hAnsi="Times New Roman" w:cs="Times New Roman"/>
                <w:lang w:val="ro-RO"/>
              </w:rPr>
              <w:t xml:space="preserve"> starea coletului</w:t>
            </w:r>
          </w:p>
        </w:tc>
      </w:tr>
    </w:tbl>
    <w:p w14:paraId="232381C4" w14:textId="77777777" w:rsidR="0056445D" w:rsidRPr="00A712F3" w:rsidRDefault="0056445D" w:rsidP="0056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admit </w:t>
      </w:r>
      <w:proofErr w:type="spellStart"/>
      <w:r w:rsidRPr="001F665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toleranţe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calitate în fiecare colet pentru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merele</w:t>
      </w:r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care nu sunt conforme cu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cerinţele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categoriei indicate, după cum urmează:</w:t>
      </w:r>
    </w:p>
    <w:p w14:paraId="2435F47A" w14:textId="77777777" w:rsidR="0056445D" w:rsidRPr="00A712F3" w:rsidRDefault="0056445D" w:rsidP="0056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pentru categoria „Extra” se admite o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toleranţă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maximum 5 % din numărul sau din greutatea merelor care nu îndeplinesc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cerinţele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categoriei, dar le întrunesc pe cele ale categoriei I sau se încadrează în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toleranţele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acea categorie;</w:t>
      </w:r>
    </w:p>
    <w:p w14:paraId="44F0AF9B" w14:textId="77777777" w:rsidR="0056445D" w:rsidRPr="00A712F3" w:rsidRDefault="0056445D" w:rsidP="0056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pentru categoria I se admite o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toleranţă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maximum 10 % din numărul sau din greutatea merelor care nu îndeplinesc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cerinţele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categoriei, dar le întrunesc pe cele ale categoriei II sau se încadrează în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toleranţele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categoria respectivă;</w:t>
      </w:r>
    </w:p>
    <w:p w14:paraId="608DAB7E" w14:textId="77777777" w:rsidR="009638DA" w:rsidRDefault="0056445D" w:rsidP="00AE7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c) pentru categoria II se admite o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toleranţă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maximum 10 % din numărul sau din greutatea merelor ce nu îndeplinesc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cerinţele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categoriei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nici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cerinţele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minime, cu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excepţia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fructelor atinse de putregai sau cu alterări, din cauza cărora devin improprii pentru consum. Se admite o cantitate de maximum 2 % din numărul sau din greutatea fructelor ce prezintă următoarele defecte: atacuri grave ale bolilor ce dau anumitor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părţi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ale fructelor un aspect sticlos sau de plută;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uşoare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leziuni sau fisuri necicatrizate; urme foarte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uşoare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putregai;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prezenţa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unor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paraziţi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vii în fruct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/sau alterarea pulpei din cauza </w:t>
      </w:r>
      <w:proofErr w:type="spellStart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paraziţilor</w:t>
      </w:r>
      <w:proofErr w:type="spellEnd"/>
      <w:r w:rsidRPr="00A712F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35F8E6FA" w14:textId="77777777" w:rsidR="00AE72C0" w:rsidRPr="00AE72C0" w:rsidRDefault="00AE72C0" w:rsidP="00AE7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8C1D55F" w14:textId="77777777" w:rsidR="003A213C" w:rsidRDefault="003A213C" w:rsidP="001F0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4.2. Cerințe privind calibrarea</w:t>
      </w:r>
    </w:p>
    <w:p w14:paraId="2F235B1B" w14:textId="77777777" w:rsidR="003A213C" w:rsidRPr="004166A0" w:rsidRDefault="003A213C" w:rsidP="003A21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2"/>
          <w:szCs w:val="12"/>
          <w:lang w:val="ro-RO" w:eastAsia="ru-RU"/>
        </w:rPr>
      </w:pPr>
    </w:p>
    <w:p w14:paraId="7A6ADA1F" w14:textId="77777777" w:rsidR="003A213C" w:rsidRPr="004166A0" w:rsidRDefault="003A213C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Merele se calibrează după categoria de calitate, mărime, gradul de coacere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siguranţa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alimentară a acestora.</w:t>
      </w:r>
    </w:p>
    <w:p w14:paraId="703EC3C1" w14:textId="77777777" w:rsidR="003A213C" w:rsidRPr="004166A0" w:rsidRDefault="003A213C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Calibrul merelor este determinat de diametrul maxim al secțiunii ecuatoriale sau de greutate.</w:t>
      </w:r>
    </w:p>
    <w:p w14:paraId="32E8C3EB" w14:textId="77777777" w:rsidR="003A213C" w:rsidRDefault="003A213C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 xml:space="preserve">La toate soiurile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categoriile de mere "Extra", I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II, calibrul minim este de 60 mm, în cazul în care se determină după diametru,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90 g, dacă se determină după greutate. Se pot accepta fructe cu calibre mai mici, dacă nivelul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Brix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al produselor este mai mare sau egal cu 10,5°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Brix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iar calibrul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este de minimum 50 mm sau 70 g.</w:t>
      </w:r>
    </w:p>
    <w:p w14:paraId="26B0CB24" w14:textId="77777777" w:rsidR="004436C5" w:rsidRPr="004436C5" w:rsidRDefault="004436C5" w:rsidP="0044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toleranţe</w:t>
      </w:r>
      <w:proofErr w:type="spellEnd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calibru – pentru toate categoriile este permisă o </w:t>
      </w: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toleranţă</w:t>
      </w:r>
      <w:proofErr w:type="spellEnd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totală de 10% din numărul sau din greutatea fructelor care nu îndeplinesc </w:t>
      </w: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cerinţele</w:t>
      </w:r>
      <w:proofErr w:type="spellEnd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privind calibrul. Această </w:t>
      </w: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toleranţă</w:t>
      </w:r>
      <w:proofErr w:type="spellEnd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nu poate fi extinsă astfel </w:t>
      </w: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încît</w:t>
      </w:r>
      <w:proofErr w:type="spellEnd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să includă produsele cu un calibru de:</w:t>
      </w:r>
    </w:p>
    <w:p w14:paraId="676DE377" w14:textId="77777777" w:rsidR="004436C5" w:rsidRPr="004436C5" w:rsidRDefault="004436C5" w:rsidP="0044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a) cel </w:t>
      </w: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puţin</w:t>
      </w:r>
      <w:proofErr w:type="spellEnd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5 mm sub diametrul minim, în cazul în care calibrul este determinat pe baza diametrului;</w:t>
      </w:r>
    </w:p>
    <w:p w14:paraId="7DBC3FB1" w14:textId="77777777" w:rsidR="001B34C1" w:rsidRPr="001F0A34" w:rsidRDefault="004436C5" w:rsidP="001F0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b) cel </w:t>
      </w: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puţin</w:t>
      </w:r>
      <w:proofErr w:type="spellEnd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10 g sub greutatea minimă, în cazul în care calibrul este determinat pe baza </w:t>
      </w:r>
      <w:proofErr w:type="spellStart"/>
      <w:r w:rsidRPr="004436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greutăţii</w:t>
      </w:r>
      <w:proofErr w:type="spellEnd"/>
      <w:r w:rsidR="001F665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14:paraId="39E465FB" w14:textId="77777777" w:rsidR="0076477B" w:rsidRPr="0076477B" w:rsidRDefault="0076477B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14:paraId="0A29319E" w14:textId="77777777" w:rsidR="009638DA" w:rsidRPr="004166A0" w:rsidRDefault="007076EF" w:rsidP="00AE72C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4.3 </w:t>
      </w:r>
      <w:proofErr w:type="spellStart"/>
      <w:r w:rsidR="009638DA" w:rsidRPr="004166A0">
        <w:rPr>
          <w:rFonts w:ascii="Times New Roman" w:hAnsi="Times New Roman" w:cs="Times New Roman"/>
          <w:i/>
          <w:sz w:val="24"/>
          <w:szCs w:val="24"/>
          <w:lang w:val="ro-RO"/>
        </w:rPr>
        <w:t>Condiţii</w:t>
      </w:r>
      <w:proofErr w:type="spellEnd"/>
      <w:r w:rsidR="009638DA"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ambalare</w:t>
      </w:r>
    </w:p>
    <w:p w14:paraId="69612F4C" w14:textId="77777777" w:rsidR="009638DA" w:rsidRPr="004166A0" w:rsidRDefault="009638DA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 trebuie să fie ambalate astfel încât să li se asigure o </w:t>
      </w:r>
      <w:r w:rsidR="002B281A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protecție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adecvată. În special, ambalajele pentru comercializare care au o greutate netă de peste 3 kg trebuie să fie suficient de rigide pentru a proteja produsul în mod sigur.</w:t>
      </w:r>
    </w:p>
    <w:p w14:paraId="50605997" w14:textId="77777777" w:rsidR="009638DA" w:rsidRPr="004166A0" w:rsidRDefault="009638DA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Merele din categoria „Extra” trebuie să fie ambalate în straturi suprapuse.</w:t>
      </w:r>
    </w:p>
    <w:p w14:paraId="1B59CDAD" w14:textId="77777777" w:rsidR="009638DA" w:rsidRPr="004166A0" w:rsidRDefault="009638DA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 se ambalează în ambalaje de desfacere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transport.</w:t>
      </w:r>
    </w:p>
    <w:p w14:paraId="5F3414D3" w14:textId="77777777" w:rsidR="009638DA" w:rsidRPr="004166A0" w:rsidRDefault="009638DA" w:rsidP="00764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Etichetele aplicate individual pe produse, în cazul în care sunt dezlipite, trebuie să nu lase urme vizibile de clei sau defecte pe epidermă. </w:t>
      </w:r>
    </w:p>
    <w:p w14:paraId="6C0FDE95" w14:textId="77777777" w:rsidR="009638DA" w:rsidRPr="004166A0" w:rsidRDefault="009638DA" w:rsidP="00963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Coletele trebuie să fie lipsite de orice corp străin. Materialele folosite în interiorul coletului trebuie să fie noi, curate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o calitate care să nu producă deteriorări exterioare sau interioare produsului. Utilizarea materialelor, în special a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hîrtiei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a timbrelor ce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conţin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specificaţii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comerciale, este permisă cu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condiţia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 imprimarea sau etichetarea să fie făcută cu cerneală sau adeziv netoxice.</w:t>
      </w:r>
    </w:p>
    <w:p w14:paraId="37DAE49A" w14:textId="77777777" w:rsidR="009638DA" w:rsidRPr="004166A0" w:rsidRDefault="009638DA" w:rsidP="009638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14:paraId="6380C621" w14:textId="77777777" w:rsidR="009638DA" w:rsidRPr="004166A0" w:rsidRDefault="00CC342A" w:rsidP="00AE72C0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66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4.4 </w:t>
      </w:r>
      <w:r w:rsidR="009638DA" w:rsidRPr="004166A0">
        <w:rPr>
          <w:rFonts w:ascii="Times New Roman" w:hAnsi="Times New Roman" w:cs="Times New Roman"/>
          <w:i/>
          <w:sz w:val="24"/>
          <w:szCs w:val="24"/>
          <w:lang w:val="ro-RO"/>
        </w:rPr>
        <w:t>Etichetare</w:t>
      </w:r>
    </w:p>
    <w:p w14:paraId="5E3DC630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Fiecare colet trebuie să poarte următoarele detalii, în litere grupate pe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aceeaşi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parte, marcajul fiind lizibil, indelebil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vizibil din exterior:</w:t>
      </w:r>
    </w:p>
    <w:p w14:paraId="02E9165A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1) identificare – ambalator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/sau expeditor: denumirea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adresa, care pot fi înlocuite prin codul unic IDNO, atribuit de organul înregistrării de stat, cu indicarea în imediata apropiere: „ambalator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/sau expeditor” (sau a abrevierilor echivalente), iar în cazul produselor preambalate, denumirea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adresa unui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vînzător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pot fi indicate în strictă legătură cu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referinţa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„Ambalat pentru” sau o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menţiune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echivalentă. În acest caz, etichetarea trebuie, de asemenea, să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conţină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codul ce corespunde ambalatorului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/sau expeditorului;</w:t>
      </w:r>
    </w:p>
    <w:p w14:paraId="430B3849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2) natura produsului:</w:t>
      </w:r>
    </w:p>
    <w:p w14:paraId="207B2E34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„mere”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tipul comercial, chiar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cazul în care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conţinutul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nu este vizibil din exterior;</w:t>
      </w:r>
    </w:p>
    <w:p w14:paraId="30A837AA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b) denumirea soiului sau soiurilor (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opţional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). În cazul ambalajelor pentru comercializare ce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conţin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un amestec de soiuri diferite de mere – indicarea fiecărui soi inclus în ambalaj;</w:t>
      </w:r>
    </w:p>
    <w:p w14:paraId="406C4621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3) originea produsului:</w:t>
      </w:r>
    </w:p>
    <w:p w14:paraId="14CB43DF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ţara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origine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opţional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regiunea de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producţie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denumirea zonei la nivel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naţional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regional sau local;</w:t>
      </w:r>
    </w:p>
    <w:p w14:paraId="54F77A5B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în cazul ambalajului pentru comercializare ce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conţine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un amestec de soiuri diferite de mere de origini diferite, indicarea fiecăreia dintre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ţările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origine ale fructelor respective trebuie să fie înscrisă în imediata apropiere a soiului în cauză;</w:t>
      </w:r>
    </w:p>
    <w:p w14:paraId="351DE5AD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4) caracteristicile comerciale:</w:t>
      </w:r>
    </w:p>
    <w:p w14:paraId="5700F7E9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a) categoria;</w:t>
      </w:r>
    </w:p>
    <w:p w14:paraId="5B338C38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calibrul (în cazul în care sunt calibrate), exprimat în diametrul minim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maxim sau </w:t>
      </w:r>
      <w:r w:rsidR="001F665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mențiunea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„necalibrate”, după caz, iar pentru fructele prezentate în straturi suprapuse – numărul de </w:t>
      </w:r>
      <w:r w:rsidR="001F665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bucăți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639733BB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5) în cazul în care identificarea are loc pe baza calibrului, acesta este indicat:</w:t>
      </w:r>
    </w:p>
    <w:p w14:paraId="3AA882A6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pentru produsele pentru care există norme privind omogenitatea – prin diametrul minim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maxim sau prin greutatea minimă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maximă;</w:t>
      </w:r>
    </w:p>
    <w:p w14:paraId="6DA8DB7D" w14:textId="77777777" w:rsidR="009638DA" w:rsidRPr="004166A0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b) pentru produsele pentru care nu există norme privind omogenitatea – prin diametrul sau greutatea celui mai mic fruct din colet, urmate de expresiile „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peste” sau „+”, ori o denumire echivalentă, ori, după caz, diametrul sau greutatea celui mai mare fruct din colet.</w:t>
      </w:r>
    </w:p>
    <w:p w14:paraId="01F94BAA" w14:textId="77777777" w:rsidR="009638DA" w:rsidRDefault="009638DA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Merele, deoarece în timpul păstrării produc etilenă nu trebuie transportate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depozitate împreună cu salata verde, varza, morcovii, </w:t>
      </w:r>
      <w:r w:rsidR="001F665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castraveții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ardeii </w:t>
      </w:r>
      <w:r w:rsidR="001F665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grași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dovleacul. Merele se transportă </w:t>
      </w:r>
      <w:proofErr w:type="spellStart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 păstrează separat de cartofi, de varză, ceapă, </w:t>
      </w:r>
      <w:r w:rsidR="004166A0"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țelină</w:t>
      </w:r>
      <w:r w:rsidRPr="004166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53D878F8" w14:textId="77777777" w:rsidR="001F6650" w:rsidRDefault="001F6650" w:rsidP="009638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A303C67" w14:textId="5BF684D8" w:rsidR="001F6650" w:rsidRPr="009350DB" w:rsidRDefault="001F6650" w:rsidP="009350DB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1F665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Recomandări pentru selectarea ofert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elor</w:t>
      </w:r>
      <w:r w:rsidRPr="001F665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în cadrul achizițiilor publice.</w:t>
      </w:r>
    </w:p>
    <w:p w14:paraId="4789F38A" w14:textId="77777777" w:rsidR="001F6650" w:rsidRDefault="001F6650" w:rsidP="001F66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Raport calitate-preț.</w:t>
      </w:r>
    </w:p>
    <w:p w14:paraId="1250D0D9" w14:textId="77777777" w:rsidR="00907CD2" w:rsidRPr="00B109D2" w:rsidRDefault="00907CD2" w:rsidP="00B109D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09D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cazul în care merele urmează să fie achiziționate pentru a fi oferite copiilor pentru consum în stare proaspătă, se recomandă a de lua în considerare diametrul sau gramajul fructelor în funcție de vârsta copiilor, conform tabelului nr. 4.1.3.</w:t>
      </w:r>
    </w:p>
    <w:p w14:paraId="4168D4E5" w14:textId="77777777" w:rsidR="00907CD2" w:rsidRPr="00907CD2" w:rsidRDefault="00907CD2" w:rsidP="00B109D2">
      <w:pPr>
        <w:pStyle w:val="a3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07CD2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Tabelul 4.1.3. Recomandări privind raportul aferent vârstei copiilor și diametrul/greutatea merelor pentru consum în stare proaspătă.</w:t>
      </w:r>
    </w:p>
    <w:tbl>
      <w:tblPr>
        <w:tblW w:w="8834" w:type="dxa"/>
        <w:tblInd w:w="536" w:type="dxa"/>
        <w:tblLook w:val="04A0" w:firstRow="1" w:lastRow="0" w:firstColumn="1" w:lastColumn="0" w:noHBand="0" w:noVBand="1"/>
      </w:tblPr>
      <w:tblGrid>
        <w:gridCol w:w="2519"/>
        <w:gridCol w:w="1905"/>
        <w:gridCol w:w="2250"/>
        <w:gridCol w:w="2160"/>
      </w:tblGrid>
      <w:tr w:rsidR="00907CD2" w:rsidRPr="00C476B9" w14:paraId="048BBC51" w14:textId="77777777" w:rsidTr="00DF19A2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BC3AA4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Specificare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22A388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Extra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E87F48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Categoria 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67D60F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Categoria II</w:t>
            </w:r>
          </w:p>
        </w:tc>
      </w:tr>
      <w:tr w:rsidR="00907CD2" w:rsidRPr="00C476B9" w14:paraId="01B0F017" w14:textId="77777777" w:rsidTr="00DF19A2">
        <w:trPr>
          <w:trHeight w:val="25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C4321C" w14:textId="77777777" w:rsidR="00907CD2" w:rsidRPr="00C476B9" w:rsidRDefault="00907CD2" w:rsidP="00D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Soiuri cu fructe mari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F57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70 mm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71F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65 mm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B25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65 mm</w:t>
            </w:r>
          </w:p>
        </w:tc>
      </w:tr>
      <w:tr w:rsidR="00907CD2" w:rsidRPr="00C476B9" w14:paraId="1A955556" w14:textId="77777777" w:rsidTr="00DF19A2">
        <w:trPr>
          <w:trHeight w:val="25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74711" w14:textId="77777777" w:rsidR="00907CD2" w:rsidRPr="00C476B9" w:rsidRDefault="00907CD2" w:rsidP="00D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Alte soiuri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787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60 mm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CA8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55 mm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111D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55 mm</w:t>
            </w:r>
          </w:p>
        </w:tc>
      </w:tr>
      <w:tr w:rsidR="00907CD2" w:rsidRPr="00C476B9" w14:paraId="6FC91D60" w14:textId="77777777" w:rsidTr="00DF19A2">
        <w:trPr>
          <w:trHeight w:val="25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F788E0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Specificare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4AE1E6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Greutatea medie a merelor</w:t>
            </w:r>
          </w:p>
        </w:tc>
      </w:tr>
      <w:tr w:rsidR="00907CD2" w:rsidRPr="00C476B9" w14:paraId="05335A35" w14:textId="77777777" w:rsidTr="00DF19A2">
        <w:trPr>
          <w:trHeight w:val="25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F080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AF2574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Extra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3CD3DE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Categoria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98C7BC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Categoria II</w:t>
            </w:r>
          </w:p>
        </w:tc>
      </w:tr>
      <w:tr w:rsidR="00907CD2" w:rsidRPr="00C476B9" w14:paraId="1E936617" w14:textId="77777777" w:rsidTr="00DF19A2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84DBE" w14:textId="77777777" w:rsidR="00907CD2" w:rsidRPr="00C476B9" w:rsidRDefault="00907CD2" w:rsidP="00D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Soiuri cu fructe mari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520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140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1D2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110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CEC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110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</w:tr>
      <w:tr w:rsidR="00907CD2" w:rsidRPr="00C476B9" w14:paraId="6DC0DD02" w14:textId="77777777" w:rsidTr="00DF19A2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0375B" w14:textId="77777777" w:rsidR="00907CD2" w:rsidRPr="00C476B9" w:rsidRDefault="00907CD2" w:rsidP="00D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Alte soiuri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DF9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90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0F8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80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04A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 w:rsidRPr="00C476B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80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</w:tr>
      <w:tr w:rsidR="00907CD2" w:rsidRPr="00C476B9" w14:paraId="6F65F835" w14:textId="77777777" w:rsidTr="00DF19A2">
        <w:trPr>
          <w:trHeight w:val="25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AEB85AC" w14:textId="77777777" w:rsidR="00907CD2" w:rsidRPr="001F6650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 w:rsidRPr="001F6650"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  <w:t>Dimensiunile fructelor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14:paraId="5873D958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Tipul instituției de învățământ</w:t>
            </w:r>
          </w:p>
        </w:tc>
      </w:tr>
      <w:tr w:rsidR="00907CD2" w:rsidRPr="00C476B9" w14:paraId="30B42821" w14:textId="77777777" w:rsidTr="00DF19A2">
        <w:trPr>
          <w:trHeight w:val="255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F108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0FE8969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 xml:space="preserve">Preșcolar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FEA6240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 xml:space="preserve">Primar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DC81AAC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val="ro-RO"/>
              </w:rPr>
              <w:t>Gimnazial/liceal</w:t>
            </w:r>
          </w:p>
        </w:tc>
      </w:tr>
      <w:tr w:rsidR="00907CD2" w:rsidRPr="00C476B9" w14:paraId="126F9C5C" w14:textId="77777777" w:rsidTr="00DF19A2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44658" w14:textId="77777777" w:rsidR="00907CD2" w:rsidRPr="00C476B9" w:rsidRDefault="00907CD2" w:rsidP="0089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După diametru,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54F8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55-60</w:t>
            </w:r>
            <w:r w:rsidR="008953F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mm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6E03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60-65</w:t>
            </w:r>
            <w:r w:rsidR="008953F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mm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1A3F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65-70</w:t>
            </w:r>
            <w:r w:rsidR="008953F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mm</w:t>
            </w:r>
          </w:p>
        </w:tc>
      </w:tr>
      <w:tr w:rsidR="00907CD2" w:rsidRPr="00C476B9" w14:paraId="51415D9E" w14:textId="77777777" w:rsidTr="00DF19A2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E351C" w14:textId="77777777" w:rsidR="00907CD2" w:rsidRPr="00C476B9" w:rsidRDefault="00907CD2" w:rsidP="00D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După greutate, g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5C26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80-90</w:t>
            </w:r>
            <w:r w:rsidR="009F78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E3A4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90-110</w:t>
            </w:r>
            <w:r w:rsidR="009F78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C924" w14:textId="77777777" w:rsidR="00907CD2" w:rsidRPr="00C476B9" w:rsidRDefault="00907CD2" w:rsidP="00D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>110-140</w:t>
            </w:r>
            <w:r w:rsidR="009F78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g</w:t>
            </w:r>
          </w:p>
        </w:tc>
      </w:tr>
    </w:tbl>
    <w:p w14:paraId="1550DE1F" w14:textId="77777777" w:rsidR="003A213C" w:rsidRDefault="003A213C" w:rsidP="009638DA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ru-RU"/>
        </w:rPr>
      </w:pPr>
    </w:p>
    <w:sectPr w:rsidR="003A213C" w:rsidSect="00A2349F">
      <w:pgSz w:w="11906" w:h="16838"/>
      <w:pgMar w:top="56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15C"/>
    <w:multiLevelType w:val="hybridMultilevel"/>
    <w:tmpl w:val="3B4A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D1F"/>
    <w:multiLevelType w:val="hybridMultilevel"/>
    <w:tmpl w:val="CA66204E"/>
    <w:lvl w:ilvl="0" w:tplc="D1BCAD88">
      <w:numFmt w:val="bullet"/>
      <w:lvlText w:val="-"/>
      <w:lvlJc w:val="left"/>
      <w:pPr>
        <w:ind w:left="617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238F"/>
    <w:multiLevelType w:val="multilevel"/>
    <w:tmpl w:val="FE745F1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Theme="minorHAnsi" w:hint="default"/>
        <w:i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Theme="minorHAnsi" w:hint="default"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Theme="minorHAnsi" w:hint="default"/>
        <w:i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Theme="minorHAnsi" w:hint="default"/>
        <w:i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eastAsiaTheme="minorHAnsi" w:hint="default"/>
        <w:i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Theme="minorHAnsi" w:hint="default"/>
        <w:i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Theme="minorHAnsi" w:hint="default"/>
        <w:i/>
      </w:rPr>
    </w:lvl>
  </w:abstractNum>
  <w:abstractNum w:abstractNumId="3" w15:restartNumberingAfterBreak="0">
    <w:nsid w:val="45D1364A"/>
    <w:multiLevelType w:val="hybridMultilevel"/>
    <w:tmpl w:val="2CA2C5F0"/>
    <w:lvl w:ilvl="0" w:tplc="258608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7F4767"/>
    <w:multiLevelType w:val="multilevel"/>
    <w:tmpl w:val="109EEB36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eastAsiaTheme="minorHAnsi" w:hint="default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Theme="minorHAnsi" w:hint="default"/>
        <w:i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Theme="minorHAnsi" w:hint="default"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Theme="minorHAnsi" w:hint="default"/>
        <w:i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Theme="minorHAnsi" w:hint="default"/>
        <w:i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eastAsiaTheme="minorHAnsi" w:hint="default"/>
        <w:i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Theme="minorHAnsi" w:hint="default"/>
        <w:i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Theme="minorHAnsi" w:hint="default"/>
        <w:i/>
      </w:rPr>
    </w:lvl>
  </w:abstractNum>
  <w:abstractNum w:abstractNumId="5" w15:restartNumberingAfterBreak="0">
    <w:nsid w:val="4E6B3441"/>
    <w:multiLevelType w:val="hybridMultilevel"/>
    <w:tmpl w:val="4622F4A6"/>
    <w:lvl w:ilvl="0" w:tplc="248A1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A91415"/>
    <w:multiLevelType w:val="hybridMultilevel"/>
    <w:tmpl w:val="986E3486"/>
    <w:lvl w:ilvl="0" w:tplc="B1383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2684517">
    <w:abstractNumId w:val="1"/>
  </w:num>
  <w:num w:numId="2" w16cid:durableId="384066109">
    <w:abstractNumId w:val="6"/>
  </w:num>
  <w:num w:numId="3" w16cid:durableId="1823354666">
    <w:abstractNumId w:val="0"/>
  </w:num>
  <w:num w:numId="4" w16cid:durableId="1712529935">
    <w:abstractNumId w:val="4"/>
  </w:num>
  <w:num w:numId="5" w16cid:durableId="440153685">
    <w:abstractNumId w:val="2"/>
  </w:num>
  <w:num w:numId="6" w16cid:durableId="1939483573">
    <w:abstractNumId w:val="3"/>
  </w:num>
  <w:num w:numId="7" w16cid:durableId="36976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8DA"/>
    <w:rsid w:val="0001792F"/>
    <w:rsid w:val="0002318A"/>
    <w:rsid w:val="0005451B"/>
    <w:rsid w:val="00084565"/>
    <w:rsid w:val="000D02C3"/>
    <w:rsid w:val="0012720A"/>
    <w:rsid w:val="00163940"/>
    <w:rsid w:val="001B34C1"/>
    <w:rsid w:val="001B550C"/>
    <w:rsid w:val="001F0A34"/>
    <w:rsid w:val="001F6650"/>
    <w:rsid w:val="0020372B"/>
    <w:rsid w:val="00262D51"/>
    <w:rsid w:val="00265206"/>
    <w:rsid w:val="00276E23"/>
    <w:rsid w:val="002B281A"/>
    <w:rsid w:val="00313DFF"/>
    <w:rsid w:val="00322F18"/>
    <w:rsid w:val="003371D4"/>
    <w:rsid w:val="003A213C"/>
    <w:rsid w:val="003A5EA2"/>
    <w:rsid w:val="003D7E51"/>
    <w:rsid w:val="004166A0"/>
    <w:rsid w:val="004226AD"/>
    <w:rsid w:val="004436C5"/>
    <w:rsid w:val="004752F9"/>
    <w:rsid w:val="004851C0"/>
    <w:rsid w:val="0051425B"/>
    <w:rsid w:val="00531B4A"/>
    <w:rsid w:val="0053227D"/>
    <w:rsid w:val="005325C5"/>
    <w:rsid w:val="0056445D"/>
    <w:rsid w:val="0059429B"/>
    <w:rsid w:val="005A22FD"/>
    <w:rsid w:val="005B36C1"/>
    <w:rsid w:val="006A5A6A"/>
    <w:rsid w:val="006B3157"/>
    <w:rsid w:val="006F3805"/>
    <w:rsid w:val="007076EF"/>
    <w:rsid w:val="00711458"/>
    <w:rsid w:val="0076477B"/>
    <w:rsid w:val="007944B8"/>
    <w:rsid w:val="007F61A9"/>
    <w:rsid w:val="00810014"/>
    <w:rsid w:val="008528BE"/>
    <w:rsid w:val="00865DFF"/>
    <w:rsid w:val="00893599"/>
    <w:rsid w:val="008953FF"/>
    <w:rsid w:val="008B0DF0"/>
    <w:rsid w:val="008B31E2"/>
    <w:rsid w:val="008C1F2A"/>
    <w:rsid w:val="008C25C9"/>
    <w:rsid w:val="008C2AE5"/>
    <w:rsid w:val="00907CD2"/>
    <w:rsid w:val="00923985"/>
    <w:rsid w:val="009350DB"/>
    <w:rsid w:val="009638DA"/>
    <w:rsid w:val="00963C60"/>
    <w:rsid w:val="009A0A9B"/>
    <w:rsid w:val="009C6A0B"/>
    <w:rsid w:val="009F784F"/>
    <w:rsid w:val="00A2349F"/>
    <w:rsid w:val="00A712F3"/>
    <w:rsid w:val="00AA6212"/>
    <w:rsid w:val="00AC130C"/>
    <w:rsid w:val="00AD550D"/>
    <w:rsid w:val="00AE72C0"/>
    <w:rsid w:val="00B109D2"/>
    <w:rsid w:val="00B9389D"/>
    <w:rsid w:val="00CC1E1E"/>
    <w:rsid w:val="00CC342A"/>
    <w:rsid w:val="00CD1637"/>
    <w:rsid w:val="00D44B8F"/>
    <w:rsid w:val="00D770FE"/>
    <w:rsid w:val="00DB3043"/>
    <w:rsid w:val="00DE1E74"/>
    <w:rsid w:val="00E00A7B"/>
    <w:rsid w:val="00E14EA8"/>
    <w:rsid w:val="00E30CE2"/>
    <w:rsid w:val="00E637D8"/>
    <w:rsid w:val="00E81DFC"/>
    <w:rsid w:val="00EA3F37"/>
    <w:rsid w:val="00EB6ADE"/>
    <w:rsid w:val="00EE6070"/>
    <w:rsid w:val="00F025D5"/>
    <w:rsid w:val="00F106D9"/>
    <w:rsid w:val="00F96406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0F2D"/>
  <w15:chartTrackingRefBased/>
  <w15:docId w15:val="{1C824516-A395-4F6E-BAEA-A03E3E55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D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3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DFF"/>
    <w:rPr>
      <w:rFonts w:ascii="Segoe UI" w:hAnsi="Segoe UI" w:cs="Segoe UI"/>
      <w:sz w:val="18"/>
      <w:szCs w:val="18"/>
      <w:lang w:val="ru-RU"/>
    </w:rPr>
  </w:style>
  <w:style w:type="table" w:customStyle="1" w:styleId="TabelgrilLuminos1">
    <w:name w:val="Tabel grilă Luminos1"/>
    <w:basedOn w:val="a1"/>
    <w:uiPriority w:val="40"/>
    <w:rsid w:val="003A213C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3A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E1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Dulsineia Bîlici</dc:creator>
  <cp:keywords/>
  <dc:description/>
  <cp:lastModifiedBy>npostolache</cp:lastModifiedBy>
  <cp:revision>4</cp:revision>
  <dcterms:created xsi:type="dcterms:W3CDTF">2022-10-26T11:30:00Z</dcterms:created>
  <dcterms:modified xsi:type="dcterms:W3CDTF">2022-11-30T09:08:00Z</dcterms:modified>
</cp:coreProperties>
</file>